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EC93A">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bookmarkStart w:id="0" w:name="_GoBack"/>
      <w:bookmarkEnd w:id="0"/>
      <w:r>
        <w:rPr>
          <w:rFonts w:hint="eastAsia" w:ascii="黑体" w:hAnsi="黑体" w:eastAsia="黑体"/>
          <w:sz w:val="32"/>
          <w:szCs w:val="32"/>
        </w:rPr>
        <w:t>附件1</w:t>
      </w:r>
    </w:p>
    <w:p w14:paraId="4C2EBF04">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2C89F88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4CC1351F">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14:paraId="4D7B029D">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2761A086">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3E6E52E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3D30C2B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79C476C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398A111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1C0A34C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51325B5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302D95E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71E96C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58D49FF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4D4F664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362DDC0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39F78EB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3EE8A26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7424832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5A12D31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06B19A2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3C354D5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4A8BAE7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75E8391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335331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7912FCB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340968F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0417CE5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2F02DAB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47CE541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433043B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435F7A6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4D26A09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1BF2122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3390909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650F203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70D1C9A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523E76E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4845EE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55B34EA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7F2AD8B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2D4B82E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7AB107E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37660BD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4C13E8D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296C766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10A2C92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44B1AE1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3B53269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38A47DC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532AB24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3C02247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49E3FCB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337B8B6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25086C77">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00215E6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1CE66B28">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19C77285">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2AB33CEE">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3099CBC0">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47E57B9C">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48B8DA13">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4D4902C7">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7381CA23">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2D557A43">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7AD39EB6">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4302105C">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21B3AB55">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539C">
    <w:pPr>
      <w:pStyle w:val="2"/>
      <w:tabs>
        <w:tab w:val="center" w:pos="4309"/>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3DBCB362"/>
    <w:rsid w:val="46D072E6"/>
    <w:rsid w:val="55C64C3C"/>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2</TotalTime>
  <ScaleCrop>false</ScaleCrop>
  <LinksUpToDate>false</LinksUpToDate>
  <CharactersWithSpaces>1295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董志伟</cp:lastModifiedBy>
  <cp:lastPrinted>2025-10-21T14:25:00Z</cp:lastPrinted>
  <dcterms:modified xsi:type="dcterms:W3CDTF">2025-10-29T01:25:35Z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42860890200576DA8F2FF8685AC2CD2D</vt:lpwstr>
  </property>
  <property fmtid="{D5CDD505-2E9C-101B-9397-08002B2CF9AE}" pid="4" name="KSOTemplateDocerSaveRecord">
    <vt:lpwstr>eyJoZGlkIjoiYWU1ZTVmMjljNGU4NGNhNzFkOTI2M2QzMjU1MTczNjYiLCJ1c2VySWQiOiIxNjQzNDc3NDEwIn0=</vt:lpwstr>
  </property>
</Properties>
</file>